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kernel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baptized.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baptized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misconceptions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unreasonable.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trustworthy.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trustworthy.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unfaithful,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Hebrews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Abraham.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Abraham?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Pilgrim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Isaac,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eternity.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Hebrews,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righteousness.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annunciation.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Gabriel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Messiah.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interiorize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annunciation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abnegation,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inextricably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roadblocks,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sympathize.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apprehend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plausible.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Anselm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quadrants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inscrutable,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ineffable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trustworthy.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absurd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apostles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unchangeable?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Hebrews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apostles.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apostles,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sanctifier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paragraph.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Einstein's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sacrament.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immaculate.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Vatican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propagation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Axiom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baptism.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baptized,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Baptism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transubstantiation,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Aquinas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bulwark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Vatican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safeguarded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unchangeable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catechism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Vatican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Vatican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unchangeable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commensurate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impoverished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Hebrews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Gideon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Jephthah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Samuel,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resurrection,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imprisonment.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destitute,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afflicted,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Parfitt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